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7955E4B8" w:rsidR="008A29C0" w:rsidRPr="00FE0D5C" w:rsidRDefault="005F1458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>PS</w:t>
      </w:r>
      <w:r w:rsidR="001C390B">
        <w:rPr>
          <w:sz w:val="32"/>
          <w:szCs w:val="32"/>
        </w:rPr>
        <w:t xml:space="preserve"> </w:t>
      </w:r>
      <w:r>
        <w:rPr>
          <w:sz w:val="32"/>
          <w:szCs w:val="32"/>
        </w:rPr>
        <w:t>02</w:t>
      </w:r>
      <w:r w:rsidR="001C390B">
        <w:rPr>
          <w:sz w:val="32"/>
          <w:szCs w:val="32"/>
        </w:rPr>
        <w:t>.</w:t>
      </w:r>
      <w:r>
        <w:rPr>
          <w:sz w:val="32"/>
          <w:szCs w:val="32"/>
        </w:rPr>
        <w:t>13</w:t>
      </w:r>
      <w:r w:rsidR="002035E0">
        <w:rPr>
          <w:sz w:val="32"/>
          <w:szCs w:val="32"/>
        </w:rPr>
        <w:t>.</w:t>
      </w:r>
      <w:r>
        <w:rPr>
          <w:sz w:val="32"/>
          <w:szCs w:val="32"/>
        </w:rPr>
        <w:t>3</w:t>
      </w:r>
      <w:r w:rsidR="001C390B">
        <w:rPr>
          <w:sz w:val="32"/>
          <w:szCs w:val="32"/>
        </w:rPr>
        <w:t xml:space="preserve"> </w:t>
      </w:r>
      <w:r>
        <w:rPr>
          <w:sz w:val="32"/>
          <w:szCs w:val="32"/>
        </w:rPr>
        <w:t>Odvod tepla z okruhů elektrolyzérů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33ABAC54" w:rsidR="008A29C0" w:rsidRPr="00CC03E7" w:rsidRDefault="000F2FD1" w:rsidP="00FE0D5C">
      <w:pPr>
        <w:jc w:val="center"/>
        <w:rPr>
          <w:szCs w:val="20"/>
        </w:rPr>
      </w:pPr>
      <w:r w:rsidRPr="00CC03E7">
        <w:rPr>
          <w:szCs w:val="20"/>
        </w:rPr>
        <w:t>Provozní soubory</w:t>
      </w:r>
    </w:p>
    <w:p w14:paraId="4D35A1DF" w14:textId="355C95B9" w:rsidR="008A29C0" w:rsidRPr="00CC03E7" w:rsidRDefault="008A29C0" w:rsidP="00FE0D5C">
      <w:pPr>
        <w:jc w:val="center"/>
        <w:rPr>
          <w:b/>
          <w:bCs/>
          <w:shd w:val="clear" w:color="auto" w:fill="FFFF00"/>
        </w:rPr>
      </w:pPr>
    </w:p>
    <w:p w14:paraId="1D8FD3B0" w14:textId="688F6AB2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15548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31526D3A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5F1458">
                    <w:rPr>
                      <w:lang w:eastAsia="cs-CZ"/>
                    </w:rPr>
                    <w:t>PS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5F1458">
                    <w:rPr>
                      <w:lang w:eastAsia="cs-CZ"/>
                    </w:rPr>
                    <w:t>02</w:t>
                  </w:r>
                  <w:r w:rsidR="00AD7012">
                    <w:rPr>
                      <w:lang w:eastAsia="cs-CZ"/>
                    </w:rPr>
                    <w:t>.</w:t>
                  </w:r>
                  <w:r w:rsidR="005F1458">
                    <w:rPr>
                      <w:lang w:eastAsia="cs-CZ"/>
                    </w:rPr>
                    <w:t>13</w:t>
                  </w:r>
                  <w:r w:rsidR="00AD7012">
                    <w:rPr>
                      <w:lang w:eastAsia="cs-CZ"/>
                    </w:rPr>
                    <w:t>-</w:t>
                  </w:r>
                  <w:r w:rsidR="005F1458">
                    <w:rPr>
                      <w:lang w:eastAsia="cs-CZ"/>
                    </w:rPr>
                    <w:t>3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4E01152" w:rsidR="008A29C0" w:rsidRPr="009F2B22" w:rsidRDefault="00E103F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Michal Zeman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43FF5073" w:rsidR="008A29C0" w:rsidRPr="009F2B22" w:rsidRDefault="00E103F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Michal Zeman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1608A1EA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09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>
                    <w:rPr>
                      <w:lang w:eastAsia="cs-CZ"/>
                    </w:rPr>
                    <w:t>20</w:t>
                  </w:r>
                  <w:r w:rsidR="00CC03E7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F81BDE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C925B18" w14:textId="77777777" w:rsidTr="00F81BDE">
        <w:trPr>
          <w:trHeight w:val="300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4AAB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6925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02A268D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6D7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BF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71497CE" w14:textId="77777777" w:rsidTr="00F81BDE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DF7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B5D0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357D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9F9F45A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AA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FE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2D769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ECD6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2501134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1309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212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FA9B0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D9A94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1570300C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F86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01F4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5972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47EC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6B5C555" w14:textId="77777777" w:rsidTr="00F81BDE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061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7002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3B36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270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0130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64EFAEEA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420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1824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F83B4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C8D2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6D0C62E3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251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ACF22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9200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E436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1CF476E" w14:textId="77777777" w:rsidTr="00F81BDE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9F9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565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36B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1943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D0E0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04BB1C55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259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21DE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71FF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2D46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8"/>
          <w:footerReference w:type="default" r:id="rId9"/>
          <w:headerReference w:type="first" r:id="rId10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bookmarkEnd w:id="0"/>
    <w:p w14:paraId="2FB12BB8" w14:textId="77777777" w:rsidR="003F3754" w:rsidRPr="003F3754" w:rsidRDefault="003F3754" w:rsidP="003F3754">
      <w:pPr>
        <w:rPr>
          <w:b/>
        </w:rPr>
      </w:pPr>
      <w:r w:rsidRPr="003F3754">
        <w:rPr>
          <w:b/>
        </w:rPr>
        <w:lastRenderedPageBreak/>
        <w:t>OBSAH:</w:t>
      </w:r>
    </w:p>
    <w:p w14:paraId="3AE6FC66" w14:textId="77777777" w:rsidR="003F3754" w:rsidRPr="003F3754" w:rsidRDefault="003F3754" w:rsidP="003F3754">
      <w:pPr>
        <w:ind w:left="1134"/>
        <w:rPr>
          <w:b/>
        </w:rPr>
      </w:pPr>
    </w:p>
    <w:p w14:paraId="3A989A8B" w14:textId="0C13517B" w:rsidR="00085E8D" w:rsidRDefault="003F375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3F3754">
        <w:rPr>
          <w:bCs w:val="0"/>
          <w:caps/>
          <w:noProof/>
          <w:kern w:val="28"/>
          <w:szCs w:val="22"/>
        </w:rPr>
        <w:fldChar w:fldCharType="begin"/>
      </w:r>
      <w:r w:rsidRPr="003F3754">
        <w:rPr>
          <w:bCs w:val="0"/>
          <w:caps/>
          <w:noProof/>
          <w:kern w:val="28"/>
          <w:szCs w:val="22"/>
        </w:rPr>
        <w:instrText xml:space="preserve"> TOC \o "1-3" \u </w:instrText>
      </w:r>
      <w:r w:rsidRPr="003F3754">
        <w:rPr>
          <w:bCs w:val="0"/>
          <w:caps/>
          <w:noProof/>
          <w:kern w:val="28"/>
          <w:szCs w:val="22"/>
        </w:rPr>
        <w:fldChar w:fldCharType="separate"/>
      </w:r>
      <w:r w:rsidR="00085E8D">
        <w:rPr>
          <w:noProof/>
        </w:rPr>
        <w:t>1.</w:t>
      </w:r>
      <w:r w:rsidR="00085E8D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="00085E8D">
        <w:rPr>
          <w:noProof/>
        </w:rPr>
        <w:t>PŘEDMĚT PROJEKTU</w:t>
      </w:r>
      <w:r w:rsidR="00085E8D">
        <w:rPr>
          <w:noProof/>
        </w:rPr>
        <w:tab/>
      </w:r>
      <w:r w:rsidR="00085E8D">
        <w:rPr>
          <w:noProof/>
        </w:rPr>
        <w:fldChar w:fldCharType="begin"/>
      </w:r>
      <w:r w:rsidR="00085E8D">
        <w:rPr>
          <w:noProof/>
        </w:rPr>
        <w:instrText xml:space="preserve"> PAGEREF _Toc54244359 \h </w:instrText>
      </w:r>
      <w:r w:rsidR="00085E8D">
        <w:rPr>
          <w:noProof/>
        </w:rPr>
      </w:r>
      <w:r w:rsidR="00085E8D">
        <w:rPr>
          <w:noProof/>
        </w:rPr>
        <w:fldChar w:fldCharType="separate"/>
      </w:r>
      <w:r w:rsidR="00085E8D">
        <w:rPr>
          <w:noProof/>
        </w:rPr>
        <w:t>4</w:t>
      </w:r>
      <w:r w:rsidR="00085E8D">
        <w:rPr>
          <w:noProof/>
        </w:rPr>
        <w:fldChar w:fldCharType="end"/>
      </w:r>
    </w:p>
    <w:p w14:paraId="0B6D92C7" w14:textId="7FA51D20" w:rsidR="00085E8D" w:rsidRDefault="00085E8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PODKLADY PRO PROJEKT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5A48C53" w14:textId="1A3702AC" w:rsidR="00085E8D" w:rsidRDefault="00085E8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TECHNICKÉ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4A81031" w14:textId="21960623" w:rsidR="00085E8D" w:rsidRDefault="00085E8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POPIS TECHNICKÉHO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E81D895" w14:textId="38E92EDA" w:rsidR="00085E8D" w:rsidRDefault="00085E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Popis zdroje chladu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5E891F" w14:textId="33938F66" w:rsidR="00085E8D" w:rsidRDefault="00085E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Distribuce chladicí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BF3E8F" w14:textId="3096FAE5" w:rsidR="00085E8D" w:rsidRDefault="00085E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4.3.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Doplňovací, expanzní a pojistné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ACFB4B0" w14:textId="247AE033" w:rsidR="00085E8D" w:rsidRDefault="00085E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4.4.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Tepelné izolace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D539B60" w14:textId="1505F5DA" w:rsidR="00085E8D" w:rsidRDefault="00085E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4.5.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Měření a regulace systému chlazení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B7CB11B" w14:textId="1759F3B5" w:rsidR="00085E8D" w:rsidRDefault="00085E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4.6.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Bilance potřeb energií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9A31CC5" w14:textId="34CD1724" w:rsidR="00085E8D" w:rsidRDefault="00085E8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BEZPEČNOST PRÁCE, OCHRANA ZDRAVÍ PŘI PRÁCI A OCHRANA ŽIVOTNÍHO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9381BE" w14:textId="59270858" w:rsidR="00085E8D" w:rsidRDefault="00085E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 xml:space="preserve">5.1. 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Bezpečnost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E51722" w14:textId="1C032537" w:rsidR="00085E8D" w:rsidRDefault="00085E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 xml:space="preserve">5.2. 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Chladivo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9B56DA3" w14:textId="7CE557AB" w:rsidR="00085E8D" w:rsidRDefault="00085E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 xml:space="preserve">5.3. 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Přehled základních právních předpisů a norem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_Toc54244372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13AF311" w14:textId="103BCA7A" w:rsidR="003F3754" w:rsidRPr="003F3754" w:rsidRDefault="003F3754" w:rsidP="003F3754">
      <w:pPr>
        <w:pStyle w:val="Obsah1"/>
        <w:tabs>
          <w:tab w:val="left" w:pos="1134"/>
          <w:tab w:val="right" w:leader="dot" w:pos="9214"/>
        </w:tabs>
        <w:spacing w:before="0"/>
        <w:ind w:firstLine="709"/>
        <w:rPr>
          <w:bCs w:val="0"/>
          <w:caps/>
          <w:noProof/>
          <w:kern w:val="28"/>
          <w:szCs w:val="22"/>
        </w:rPr>
      </w:pPr>
      <w:r w:rsidRPr="003F3754">
        <w:rPr>
          <w:bCs w:val="0"/>
          <w:caps/>
          <w:noProof/>
          <w:kern w:val="28"/>
          <w:szCs w:val="22"/>
        </w:rPr>
        <w:fldChar w:fldCharType="end"/>
      </w:r>
    </w:p>
    <w:p w14:paraId="7D8BD0D4" w14:textId="77777777" w:rsidR="003F3754" w:rsidRPr="003F3754" w:rsidRDefault="003F3754" w:rsidP="003F3754"/>
    <w:p w14:paraId="77D74661" w14:textId="77777777" w:rsidR="003F3754" w:rsidRPr="003F3754" w:rsidRDefault="003F3754" w:rsidP="003F3754"/>
    <w:p w14:paraId="18B3F0B3" w14:textId="77777777" w:rsidR="003F3754" w:rsidRPr="003F3754" w:rsidRDefault="003F3754" w:rsidP="003F3754"/>
    <w:p w14:paraId="4A25C770" w14:textId="77777777" w:rsidR="003F3754" w:rsidRPr="003F3754" w:rsidRDefault="003F3754" w:rsidP="003F3754"/>
    <w:p w14:paraId="2660E74F" w14:textId="77777777" w:rsidR="003F3754" w:rsidRPr="003F3754" w:rsidRDefault="003F3754" w:rsidP="003F3754"/>
    <w:p w14:paraId="6E969072" w14:textId="77777777" w:rsidR="003F3754" w:rsidRPr="003F3754" w:rsidRDefault="003F3754" w:rsidP="003F3754"/>
    <w:p w14:paraId="213061F2" w14:textId="77777777" w:rsidR="003F3754" w:rsidRPr="003F3754" w:rsidRDefault="003F3754" w:rsidP="003F3754"/>
    <w:p w14:paraId="582A568E" w14:textId="77777777" w:rsidR="003F3754" w:rsidRPr="003F3754" w:rsidRDefault="003F3754" w:rsidP="003F3754"/>
    <w:p w14:paraId="6B477706" w14:textId="77777777" w:rsidR="003F3754" w:rsidRPr="003F3754" w:rsidRDefault="003F3754" w:rsidP="003F3754"/>
    <w:p w14:paraId="2FAE2188" w14:textId="77777777" w:rsidR="003F3754" w:rsidRPr="003F3754" w:rsidRDefault="003F3754" w:rsidP="003F3754"/>
    <w:p w14:paraId="46493E17" w14:textId="77777777" w:rsidR="003F3754" w:rsidRPr="003F3754" w:rsidRDefault="003F3754" w:rsidP="003F3754"/>
    <w:p w14:paraId="02DFD07A" w14:textId="77777777" w:rsidR="003F3754" w:rsidRPr="003F3754" w:rsidRDefault="003F3754" w:rsidP="003F3754"/>
    <w:p w14:paraId="5F4D7CCF" w14:textId="77777777" w:rsidR="003F3754" w:rsidRPr="003F3754" w:rsidRDefault="003F3754" w:rsidP="003F3754"/>
    <w:p w14:paraId="3AB9FCA6" w14:textId="77777777" w:rsidR="003F3754" w:rsidRPr="003F3754" w:rsidRDefault="003F3754" w:rsidP="003F3754">
      <w:r w:rsidRPr="003F3754">
        <w:br w:type="page"/>
      </w:r>
    </w:p>
    <w:p w14:paraId="0C1E48EB" w14:textId="77777777" w:rsidR="003F3754" w:rsidRPr="003F3754" w:rsidRDefault="003F3754" w:rsidP="008834F6">
      <w:pPr>
        <w:pStyle w:val="Nadpis1"/>
        <w:tabs>
          <w:tab w:val="clear" w:pos="851"/>
        </w:tabs>
        <w:jc w:val="both"/>
      </w:pPr>
      <w:bookmarkStart w:id="2" w:name="_Toc54244359"/>
      <w:r w:rsidRPr="003F3754">
        <w:lastRenderedPageBreak/>
        <w:t>PŘEDMĚT PROJEKTU</w:t>
      </w:r>
      <w:bookmarkEnd w:id="2"/>
    </w:p>
    <w:p w14:paraId="00E02655" w14:textId="5C1E3043" w:rsidR="003F3754" w:rsidRPr="003F3754" w:rsidRDefault="003F3754" w:rsidP="008834F6">
      <w:pPr>
        <w:pStyle w:val="Zkladntextodsazen2"/>
        <w:spacing w:before="120" w:after="0" w:line="240" w:lineRule="auto"/>
        <w:ind w:left="0"/>
        <w:jc w:val="both"/>
        <w:rPr>
          <w:snapToGrid w:val="0"/>
          <w:szCs w:val="24"/>
        </w:rPr>
      </w:pPr>
      <w:r w:rsidRPr="003F3754">
        <w:rPr>
          <w:snapToGrid w:val="0"/>
          <w:szCs w:val="24"/>
        </w:rPr>
        <w:t xml:space="preserve">Část </w:t>
      </w:r>
      <w:r w:rsidR="005F1458">
        <w:rPr>
          <w:snapToGrid w:val="0"/>
          <w:szCs w:val="24"/>
        </w:rPr>
        <w:t>PS</w:t>
      </w:r>
      <w:r w:rsidR="00C27ED4">
        <w:rPr>
          <w:snapToGrid w:val="0"/>
          <w:szCs w:val="24"/>
        </w:rPr>
        <w:t xml:space="preserve"> </w:t>
      </w:r>
      <w:r w:rsidR="005F1458">
        <w:rPr>
          <w:snapToGrid w:val="0"/>
          <w:szCs w:val="24"/>
        </w:rPr>
        <w:t>02</w:t>
      </w:r>
      <w:r w:rsidR="00C27ED4">
        <w:rPr>
          <w:snapToGrid w:val="0"/>
          <w:szCs w:val="24"/>
        </w:rPr>
        <w:t>.</w:t>
      </w:r>
      <w:r w:rsidR="005F1458">
        <w:rPr>
          <w:snapToGrid w:val="0"/>
          <w:szCs w:val="24"/>
        </w:rPr>
        <w:t>13</w:t>
      </w:r>
      <w:r w:rsidR="00C27ED4">
        <w:rPr>
          <w:snapToGrid w:val="0"/>
          <w:szCs w:val="24"/>
        </w:rPr>
        <w:t>.</w:t>
      </w:r>
      <w:r w:rsidR="005F1458">
        <w:rPr>
          <w:snapToGrid w:val="0"/>
          <w:szCs w:val="24"/>
        </w:rPr>
        <w:t>3</w:t>
      </w:r>
      <w:r w:rsidRPr="003F3754">
        <w:rPr>
          <w:snapToGrid w:val="0"/>
          <w:szCs w:val="24"/>
        </w:rPr>
        <w:t xml:space="preserve"> </w:t>
      </w:r>
      <w:r w:rsidR="005F1458">
        <w:rPr>
          <w:snapToGrid w:val="0"/>
          <w:szCs w:val="24"/>
        </w:rPr>
        <w:t xml:space="preserve">Odvod tepla z okruhů elektrolyzérů </w:t>
      </w:r>
      <w:r w:rsidRPr="003F3754">
        <w:rPr>
          <w:snapToGrid w:val="0"/>
          <w:szCs w:val="24"/>
        </w:rPr>
        <w:t xml:space="preserve">řeší zajištění potřeby chladicí vody pro </w:t>
      </w:r>
      <w:r w:rsidR="005F1458">
        <w:rPr>
          <w:snapToGrid w:val="0"/>
          <w:szCs w:val="24"/>
        </w:rPr>
        <w:t>odvod tepla z okruhů elektrolyzérů umístěných v</w:t>
      </w:r>
      <w:r w:rsidRPr="003F3754">
        <w:rPr>
          <w:snapToGrid w:val="0"/>
          <w:szCs w:val="24"/>
        </w:rPr>
        <w:t xml:space="preserve"> objekt</w:t>
      </w:r>
      <w:r w:rsidR="005F1458">
        <w:rPr>
          <w:snapToGrid w:val="0"/>
          <w:szCs w:val="24"/>
        </w:rPr>
        <w:t>u</w:t>
      </w:r>
      <w:r w:rsidRPr="003F3754">
        <w:rPr>
          <w:snapToGrid w:val="0"/>
          <w:szCs w:val="24"/>
        </w:rPr>
        <w:t xml:space="preserve"> </w:t>
      </w:r>
      <w:r w:rsidR="00C27ED4">
        <w:rPr>
          <w:snapToGrid w:val="0"/>
          <w:szCs w:val="24"/>
        </w:rPr>
        <w:t>Centra Energetických a Environmentálních Technologií – Explorer (</w:t>
      </w:r>
      <w:proofErr w:type="spellStart"/>
      <w:r w:rsidR="00C27ED4">
        <w:rPr>
          <w:snapToGrid w:val="0"/>
          <w:szCs w:val="24"/>
        </w:rPr>
        <w:t>CEETe</w:t>
      </w:r>
      <w:proofErr w:type="spellEnd"/>
      <w:r w:rsidR="00C27ED4">
        <w:rPr>
          <w:snapToGrid w:val="0"/>
          <w:szCs w:val="24"/>
        </w:rPr>
        <w:t>).</w:t>
      </w:r>
      <w:r w:rsidRPr="003F3754">
        <w:rPr>
          <w:snapToGrid w:val="0"/>
          <w:szCs w:val="24"/>
        </w:rPr>
        <w:t xml:space="preserve"> </w:t>
      </w:r>
      <w:r w:rsidR="00711445">
        <w:rPr>
          <w:snapToGrid w:val="0"/>
          <w:szCs w:val="24"/>
        </w:rPr>
        <w:t>Samotné chladicí okruhy, které jsou plněny demineralizovanou vodou nejsou předmětem tohoto souboru, ok</w:t>
      </w:r>
      <w:r w:rsidR="00332CA3">
        <w:rPr>
          <w:snapToGrid w:val="0"/>
          <w:szCs w:val="24"/>
        </w:rPr>
        <w:t>r</w:t>
      </w:r>
      <w:r w:rsidR="00711445">
        <w:rPr>
          <w:snapToGrid w:val="0"/>
          <w:szCs w:val="24"/>
        </w:rPr>
        <w:t>uhy pro chlazení elektrolyzéru budou připojeny na</w:t>
      </w:r>
      <w:r w:rsidR="00CC23E9">
        <w:rPr>
          <w:snapToGrid w:val="0"/>
          <w:szCs w:val="24"/>
        </w:rPr>
        <w:t> </w:t>
      </w:r>
      <w:r w:rsidR="00711445">
        <w:rPr>
          <w:snapToGrid w:val="0"/>
          <w:szCs w:val="24"/>
        </w:rPr>
        <w:t xml:space="preserve">teplený výměník v dodávce tohoto souboru. </w:t>
      </w:r>
      <w:r w:rsidR="005F1458">
        <w:rPr>
          <w:snapToGrid w:val="0"/>
          <w:szCs w:val="24"/>
        </w:rPr>
        <w:t>Zajištění chladicí vody</w:t>
      </w:r>
      <w:r w:rsidRPr="003F3754">
        <w:rPr>
          <w:snapToGrid w:val="0"/>
          <w:szCs w:val="24"/>
        </w:rPr>
        <w:t xml:space="preserve"> pro jiná zařízení VZT, či</w:t>
      </w:r>
      <w:r w:rsidR="00711445">
        <w:rPr>
          <w:snapToGrid w:val="0"/>
          <w:szCs w:val="24"/>
        </w:rPr>
        <w:t> </w:t>
      </w:r>
      <w:r w:rsidRPr="003F3754">
        <w:rPr>
          <w:snapToGrid w:val="0"/>
          <w:szCs w:val="24"/>
        </w:rPr>
        <w:t>technologické chlazení není tímto souborem řešeno.</w:t>
      </w:r>
      <w:r w:rsidR="005F1458">
        <w:rPr>
          <w:snapToGrid w:val="0"/>
          <w:szCs w:val="24"/>
        </w:rPr>
        <w:t xml:space="preserve"> Tento soubor přímo navazuje na soubor SO</w:t>
      </w:r>
      <w:r w:rsidR="00332CA3">
        <w:rPr>
          <w:snapToGrid w:val="0"/>
          <w:szCs w:val="24"/>
        </w:rPr>
        <w:t> </w:t>
      </w:r>
      <w:r w:rsidR="005F1458">
        <w:rPr>
          <w:snapToGrid w:val="0"/>
          <w:szCs w:val="24"/>
        </w:rPr>
        <w:t>01.1.52 Chlazení</w:t>
      </w:r>
      <w:r w:rsidR="00332CA3">
        <w:rPr>
          <w:snapToGrid w:val="0"/>
          <w:szCs w:val="24"/>
        </w:rPr>
        <w:t>, kde je řešen zdroj chladicí vody</w:t>
      </w:r>
      <w:r w:rsidR="005F1458">
        <w:rPr>
          <w:snapToGrid w:val="0"/>
          <w:szCs w:val="24"/>
        </w:rPr>
        <w:t>.</w:t>
      </w:r>
    </w:p>
    <w:p w14:paraId="401819D4" w14:textId="77777777" w:rsidR="003F3754" w:rsidRPr="003F3754" w:rsidRDefault="003F3754" w:rsidP="008834F6">
      <w:pPr>
        <w:pStyle w:val="Nadpis1"/>
        <w:tabs>
          <w:tab w:val="clear" w:pos="851"/>
        </w:tabs>
        <w:jc w:val="both"/>
      </w:pPr>
      <w:bookmarkStart w:id="3" w:name="_Toc54244360"/>
      <w:r w:rsidRPr="003F3754">
        <w:t>PODKLADY PRO PROJEKT</w:t>
      </w:r>
      <w:bookmarkEnd w:id="3"/>
    </w:p>
    <w:p w14:paraId="77A3A20E" w14:textId="77777777" w:rsidR="003F3754" w:rsidRPr="003F3754" w:rsidRDefault="003F3754" w:rsidP="008834F6">
      <w:pPr>
        <w:numPr>
          <w:ilvl w:val="0"/>
          <w:numId w:val="16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b/>
          <w:szCs w:val="24"/>
          <w:u w:val="single"/>
        </w:rPr>
      </w:pPr>
      <w:proofErr w:type="spellStart"/>
      <w:r w:rsidRPr="003F3754">
        <w:rPr>
          <w:szCs w:val="24"/>
        </w:rPr>
        <w:t>Architektonicko</w:t>
      </w:r>
      <w:proofErr w:type="spellEnd"/>
      <w:r w:rsidRPr="003F3754">
        <w:rPr>
          <w:szCs w:val="24"/>
        </w:rPr>
        <w:t xml:space="preserve"> – stavební řešení</w:t>
      </w:r>
    </w:p>
    <w:p w14:paraId="5B8CF8E8" w14:textId="77777777" w:rsidR="003F3754" w:rsidRPr="003F3754" w:rsidRDefault="003F3754" w:rsidP="008834F6">
      <w:pPr>
        <w:numPr>
          <w:ilvl w:val="0"/>
          <w:numId w:val="17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szCs w:val="24"/>
        </w:rPr>
      </w:pPr>
      <w:r w:rsidRPr="003F3754">
        <w:rPr>
          <w:szCs w:val="24"/>
        </w:rPr>
        <w:t>Stavebně konstrukční řešení</w:t>
      </w:r>
    </w:p>
    <w:p w14:paraId="4A35C601" w14:textId="1A8C2A07" w:rsidR="003F3754" w:rsidRDefault="003F3754" w:rsidP="008834F6">
      <w:pPr>
        <w:numPr>
          <w:ilvl w:val="0"/>
          <w:numId w:val="17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szCs w:val="24"/>
        </w:rPr>
      </w:pPr>
      <w:r w:rsidRPr="003F3754">
        <w:rPr>
          <w:szCs w:val="24"/>
        </w:rPr>
        <w:t>VZT a klimatizace</w:t>
      </w:r>
    </w:p>
    <w:p w14:paraId="0E351D5F" w14:textId="5F50D74D" w:rsidR="00C27ED4" w:rsidRDefault="00C27ED4" w:rsidP="008834F6">
      <w:pPr>
        <w:numPr>
          <w:ilvl w:val="0"/>
          <w:numId w:val="17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szCs w:val="24"/>
        </w:rPr>
      </w:pPr>
      <w:r>
        <w:rPr>
          <w:szCs w:val="24"/>
        </w:rPr>
        <w:t>Podklady technologie elektrolyzérů</w:t>
      </w:r>
    </w:p>
    <w:p w14:paraId="0BF9F985" w14:textId="77777777" w:rsidR="003F3754" w:rsidRPr="003F3754" w:rsidRDefault="003F3754" w:rsidP="008834F6">
      <w:pPr>
        <w:numPr>
          <w:ilvl w:val="0"/>
          <w:numId w:val="17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szCs w:val="24"/>
        </w:rPr>
      </w:pPr>
      <w:r w:rsidRPr="003F3754">
        <w:rPr>
          <w:szCs w:val="24"/>
        </w:rPr>
        <w:t xml:space="preserve">Požárně bezpečnostní řešení </w:t>
      </w:r>
    </w:p>
    <w:p w14:paraId="0A416D32" w14:textId="77777777" w:rsidR="003F3754" w:rsidRPr="003F3754" w:rsidRDefault="003F3754" w:rsidP="008834F6">
      <w:pPr>
        <w:pStyle w:val="Nadpis1"/>
        <w:tabs>
          <w:tab w:val="clear" w:pos="851"/>
        </w:tabs>
        <w:jc w:val="both"/>
      </w:pPr>
      <w:bookmarkStart w:id="4" w:name="_Toc54244361"/>
      <w:r w:rsidRPr="003F3754">
        <w:t>TECHNICKÉ ÚDAJE</w:t>
      </w:r>
      <w:bookmarkEnd w:id="4"/>
    </w:p>
    <w:p w14:paraId="0B06D13D" w14:textId="2C91B0B1" w:rsidR="003F3754" w:rsidRPr="003F3754" w:rsidRDefault="005F1458" w:rsidP="008834F6">
      <w:pPr>
        <w:tabs>
          <w:tab w:val="left" w:pos="4536"/>
          <w:tab w:val="left" w:pos="5812"/>
        </w:tabs>
        <w:jc w:val="both"/>
        <w:rPr>
          <w:snapToGrid w:val="0"/>
          <w:szCs w:val="24"/>
          <w:lang w:eastAsia="x-none"/>
        </w:rPr>
      </w:pPr>
      <w:r>
        <w:rPr>
          <w:snapToGrid w:val="0"/>
          <w:szCs w:val="24"/>
          <w:lang w:eastAsia="x-none"/>
        </w:rPr>
        <w:t>Odvod tepla bude prováděn</w:t>
      </w:r>
      <w:r w:rsidR="00711445">
        <w:rPr>
          <w:snapToGrid w:val="0"/>
          <w:szCs w:val="24"/>
          <w:lang w:eastAsia="x-none"/>
        </w:rPr>
        <w:t xml:space="preserve"> chladicí vodu z centrálního objektového zdroje chladu</w:t>
      </w:r>
      <w:r>
        <w:rPr>
          <w:snapToGrid w:val="0"/>
          <w:szCs w:val="24"/>
          <w:lang w:eastAsia="x-none"/>
        </w:rPr>
        <w:t xml:space="preserve"> pomocí teplených výměníků,</w:t>
      </w:r>
      <w:r w:rsidR="00711445">
        <w:rPr>
          <w:snapToGrid w:val="0"/>
          <w:szCs w:val="24"/>
          <w:lang w:eastAsia="x-none"/>
        </w:rPr>
        <w:t xml:space="preserve"> kterými jsou okruhy od sebe odděleny</w:t>
      </w:r>
      <w:r>
        <w:rPr>
          <w:snapToGrid w:val="0"/>
          <w:szCs w:val="24"/>
          <w:lang w:eastAsia="x-none"/>
        </w:rPr>
        <w:t xml:space="preserve"> celkový předpokládaný výkon okruhů pro AEM </w:t>
      </w:r>
      <w:r w:rsidR="00711445">
        <w:rPr>
          <w:snapToGrid w:val="0"/>
          <w:szCs w:val="24"/>
          <w:lang w:eastAsia="x-none"/>
        </w:rPr>
        <w:t>elektrolyzéry</w:t>
      </w:r>
      <w:r>
        <w:rPr>
          <w:snapToGrid w:val="0"/>
          <w:szCs w:val="24"/>
          <w:lang w:eastAsia="x-none"/>
        </w:rPr>
        <w:t xml:space="preserve"> a PEM elektrolyzéry je 36kW</w:t>
      </w:r>
      <w:r w:rsidR="003F3754" w:rsidRPr="003F3754">
        <w:rPr>
          <w:snapToGrid w:val="0"/>
          <w:szCs w:val="24"/>
          <w:lang w:eastAsia="x-none"/>
        </w:rPr>
        <w:t>.</w:t>
      </w:r>
      <w:r w:rsidR="00711445">
        <w:rPr>
          <w:snapToGrid w:val="0"/>
          <w:szCs w:val="24"/>
          <w:lang w:eastAsia="x-none"/>
        </w:rPr>
        <w:t xml:space="preserve"> </w:t>
      </w:r>
    </w:p>
    <w:p w14:paraId="1F95BBDF" w14:textId="77777777" w:rsidR="003F3754" w:rsidRPr="003F3754" w:rsidRDefault="003F3754" w:rsidP="008834F6">
      <w:pPr>
        <w:pStyle w:val="Nadpis1"/>
        <w:tabs>
          <w:tab w:val="clear" w:pos="851"/>
        </w:tabs>
        <w:jc w:val="both"/>
      </w:pPr>
      <w:bookmarkStart w:id="5" w:name="_Toc54244362"/>
      <w:r w:rsidRPr="003F3754">
        <w:t>POPIS TECHNICKÉHO ŘEŠENÍ</w:t>
      </w:r>
      <w:bookmarkEnd w:id="5"/>
    </w:p>
    <w:p w14:paraId="4E552204" w14:textId="6831EDF6" w:rsidR="003F3754" w:rsidRPr="003F3754" w:rsidRDefault="003F3754" w:rsidP="008834F6">
      <w:pPr>
        <w:pStyle w:val="Nadpis2"/>
        <w:numPr>
          <w:ilvl w:val="0"/>
          <w:numId w:val="0"/>
        </w:numPr>
        <w:jc w:val="both"/>
      </w:pPr>
      <w:bookmarkStart w:id="6" w:name="_Toc54244363"/>
      <w:r w:rsidRPr="003F3754">
        <w:t>4.1.</w:t>
      </w:r>
      <w:r w:rsidR="000F1DF5">
        <w:tab/>
      </w:r>
      <w:r w:rsidRPr="003F3754">
        <w:t>Popis zdroje chladu</w:t>
      </w:r>
      <w:bookmarkEnd w:id="6"/>
    </w:p>
    <w:p w14:paraId="3306E2A6" w14:textId="1E43A6F4" w:rsidR="003F3754" w:rsidRPr="003F3754" w:rsidRDefault="00332CA3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Zdroj chladicí vody není tímto souborem řešen, rozvody pro odvod tepelné zátěže z okruhů pro elektrolyzéry bude budou připojeny na rozvody chladicí vody z centrálního objektového zdroje chladu viz soubor SO 01.1.52 Chlazení. Tento zdroj zajišťuje potřebný výkon, průtok i dispoziční tlak chladicí vody. </w:t>
      </w:r>
    </w:p>
    <w:p w14:paraId="25D2DE45" w14:textId="0B9C8C58" w:rsidR="004A1812" w:rsidRPr="003F3754" w:rsidRDefault="004A1812" w:rsidP="004A1812">
      <w:pPr>
        <w:pStyle w:val="Nadpis2"/>
        <w:numPr>
          <w:ilvl w:val="0"/>
          <w:numId w:val="0"/>
        </w:numPr>
        <w:jc w:val="both"/>
      </w:pPr>
      <w:bookmarkStart w:id="7" w:name="_Toc54244364"/>
      <w:r w:rsidRPr="003F3754">
        <w:t>4.</w:t>
      </w:r>
      <w:r>
        <w:t>2</w:t>
      </w:r>
      <w:r w:rsidRPr="003F3754">
        <w:t>.</w:t>
      </w:r>
      <w:r>
        <w:tab/>
        <w:t>Distribuce chladicí vody</w:t>
      </w:r>
      <w:bookmarkEnd w:id="7"/>
    </w:p>
    <w:p w14:paraId="3CABCC8C" w14:textId="4A166D5D" w:rsidR="004A1812" w:rsidRDefault="004A1812" w:rsidP="004A1812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Chladicí voda bude dopravována k jednotlivým zařízením rozvodným potrubím, oběh chladicí vody zajišťuje čerpadlová stanice </w:t>
      </w:r>
      <w:r w:rsidR="00332CA3">
        <w:rPr>
          <w:snapToGrid w:val="0"/>
          <w:szCs w:val="24"/>
        </w:rPr>
        <w:t xml:space="preserve">centrálního zdroje chladu (SO 01.1.52 Chlazení) z </w:t>
      </w:r>
      <w:r>
        <w:rPr>
          <w:snapToGrid w:val="0"/>
          <w:szCs w:val="24"/>
        </w:rPr>
        <w:t xml:space="preserve">okruhu chladicí vody (vodní okruh). </w:t>
      </w:r>
    </w:p>
    <w:p w14:paraId="7C76B286" w14:textId="4FB6C277" w:rsidR="00332CA3" w:rsidRDefault="00332CA3" w:rsidP="00A273A2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>Chladicí vodou z centrálního zdroje chladu bude pomocí teplených výměníků zajišťována požadovaná vstupní teplota do technologických zařízení dle měření teploty vody na výstupu z tepelného výměníku. Řízení výkonu výměníku (požadované teploty výstupní teploty z tepleného výměníku na straně technologie) bude prováděno kvantitativně, tedy změnou průtoku chladicí látky</w:t>
      </w:r>
      <w:r w:rsidR="00390E1D">
        <w:rPr>
          <w:snapToGrid w:val="0"/>
          <w:szCs w:val="24"/>
        </w:rPr>
        <w:t xml:space="preserve"> tepelným výměníkem,</w:t>
      </w:r>
      <w:r>
        <w:rPr>
          <w:snapToGrid w:val="0"/>
          <w:szCs w:val="24"/>
        </w:rPr>
        <w:t xml:space="preserve"> pomocí regulačního uzlu s</w:t>
      </w:r>
      <w:r w:rsidR="00390E1D">
        <w:rPr>
          <w:snapToGrid w:val="0"/>
          <w:szCs w:val="24"/>
        </w:rPr>
        <w:t> </w:t>
      </w:r>
      <w:r>
        <w:rPr>
          <w:snapToGrid w:val="0"/>
          <w:szCs w:val="24"/>
        </w:rPr>
        <w:t>dvoucestný</w:t>
      </w:r>
      <w:r w:rsidR="00390E1D">
        <w:rPr>
          <w:snapToGrid w:val="0"/>
          <w:szCs w:val="24"/>
        </w:rPr>
        <w:t>mi tlakově nezávislými regulačními ventily. Každý regulační uzel se předpokládá osadit dvěma regulačními ventily</w:t>
      </w:r>
      <w:r w:rsidR="0077188A" w:rsidRPr="0077188A">
        <w:rPr>
          <w:snapToGrid w:val="0"/>
          <w:szCs w:val="24"/>
        </w:rPr>
        <w:t xml:space="preserve"> </w:t>
      </w:r>
      <w:r w:rsidR="0077188A">
        <w:rPr>
          <w:snapToGrid w:val="0"/>
          <w:szCs w:val="24"/>
        </w:rPr>
        <w:t xml:space="preserve">s </w:t>
      </w:r>
      <w:r w:rsidR="0077188A" w:rsidRPr="00E331B5">
        <w:rPr>
          <w:snapToGrid w:val="0"/>
          <w:szCs w:val="24"/>
        </w:rPr>
        <w:t>napájení</w:t>
      </w:r>
      <w:r w:rsidR="0077188A">
        <w:rPr>
          <w:snapToGrid w:val="0"/>
          <w:szCs w:val="24"/>
        </w:rPr>
        <w:t>m</w:t>
      </w:r>
      <w:r w:rsidR="0077188A" w:rsidRPr="00E331B5">
        <w:rPr>
          <w:snapToGrid w:val="0"/>
          <w:szCs w:val="24"/>
        </w:rPr>
        <w:t xml:space="preserve"> </w:t>
      </w:r>
      <w:proofErr w:type="gramStart"/>
      <w:r w:rsidR="0077188A" w:rsidRPr="00E331B5">
        <w:rPr>
          <w:snapToGrid w:val="0"/>
          <w:szCs w:val="24"/>
        </w:rPr>
        <w:t>24V</w:t>
      </w:r>
      <w:proofErr w:type="gramEnd"/>
      <w:r w:rsidR="0077188A" w:rsidRPr="00E331B5">
        <w:rPr>
          <w:snapToGrid w:val="0"/>
          <w:szCs w:val="24"/>
        </w:rPr>
        <w:t>, řízení zdvihu regulační kuželky 0-10V.</w:t>
      </w:r>
      <w:r w:rsidR="00390E1D">
        <w:rPr>
          <w:snapToGrid w:val="0"/>
          <w:szCs w:val="24"/>
        </w:rPr>
        <w:t xml:space="preserve"> Pro zajištění přesné regulace výstupní teploty vody na straně technologie se předpokládá řízení následovně. V případě malého požadovaného výkonu bude otevírán pouze jeden regulační ventil, až v případě 100% otevření bude otevírán druhý regulační ventil (napájení a řízení zajišťuje systém MaR). Výstupní teplota vody na straně technologie je vždy pro celý okruh jednotná.</w:t>
      </w:r>
    </w:p>
    <w:p w14:paraId="30D34E73" w14:textId="694696FD" w:rsidR="00390E1D" w:rsidRDefault="00390E1D" w:rsidP="002A267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>V technologických okruzích pro elektrolyzéry se předpokládá médium demineralizovaná voda, všechny materiály ve styku s chladicím médiem na technologické straně tedy musí být odolné vystavení demineralizované vodě. Tepelné výměníky jsou tedy voleny deskové, nerezové (AISI316), šroubované.</w:t>
      </w:r>
    </w:p>
    <w:p w14:paraId="0ABAA7A4" w14:textId="4FE001CB" w:rsidR="00E331B5" w:rsidRPr="00E331B5" w:rsidRDefault="00E331B5" w:rsidP="00E331B5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E331B5">
        <w:rPr>
          <w:snapToGrid w:val="0"/>
          <w:szCs w:val="24"/>
        </w:rPr>
        <w:t>V</w:t>
      </w:r>
      <w:r w:rsidR="00390E1D">
        <w:rPr>
          <w:snapToGrid w:val="0"/>
          <w:szCs w:val="24"/>
        </w:rPr>
        <w:t> </w:t>
      </w:r>
      <w:r w:rsidRPr="00E331B5">
        <w:rPr>
          <w:snapToGrid w:val="0"/>
          <w:szCs w:val="24"/>
        </w:rPr>
        <w:t>systému</w:t>
      </w:r>
      <w:r w:rsidR="00390E1D">
        <w:rPr>
          <w:snapToGrid w:val="0"/>
          <w:szCs w:val="24"/>
        </w:rPr>
        <w:t xml:space="preserve"> zajištění odvodu tepla z elektrolyzérů (strana zdroje chladu)</w:t>
      </w:r>
      <w:r w:rsidRPr="00E331B5">
        <w:rPr>
          <w:snapToGrid w:val="0"/>
          <w:szCs w:val="24"/>
        </w:rPr>
        <w:t xml:space="preserve"> je využito typových armatur běžného typu v závitovém, přírubovém, nebo drážkovém provedení, v požadované tlakové řadě, materiálu a kvalitě dle protékající látky a požadavků na spolehlivý a hospodárný provoz zařízení. V systému je nezbytné množství diagnostických nástrojů pro sledování správného chodu soustavy.</w:t>
      </w:r>
    </w:p>
    <w:p w14:paraId="35BE0802" w14:textId="23437C0C" w:rsidR="00E331B5" w:rsidRPr="00E331B5" w:rsidRDefault="00E331B5" w:rsidP="00E331B5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</w:p>
    <w:p w14:paraId="0C85E78E" w14:textId="77777777" w:rsidR="00E331B5" w:rsidRPr="00E331B5" w:rsidRDefault="00E331B5" w:rsidP="00E331B5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E331B5">
        <w:rPr>
          <w:snapToGrid w:val="0"/>
          <w:szCs w:val="24"/>
        </w:rPr>
        <w:lastRenderedPageBreak/>
        <w:t xml:space="preserve">Veškeré dvoucestné regulační ventily jsou, pro hydraulické vyvážení soustavy, pro nastavení požadovaného průtoku přes výměníky chlazení, pro zajištění vysoké autority regulačního procesu a pro zabránění nežádoucích </w:t>
      </w:r>
      <w:proofErr w:type="spellStart"/>
      <w:r w:rsidRPr="00E331B5">
        <w:rPr>
          <w:snapToGrid w:val="0"/>
          <w:szCs w:val="24"/>
        </w:rPr>
        <w:t>nadprůtoků</w:t>
      </w:r>
      <w:proofErr w:type="spellEnd"/>
      <w:r w:rsidRPr="00E331B5">
        <w:rPr>
          <w:snapToGrid w:val="0"/>
          <w:szCs w:val="24"/>
        </w:rPr>
        <w:t xml:space="preserve"> přes regulační uzly, použity tlakově nezávislé s plynule nastavitelným omezovačem průtoku.</w:t>
      </w:r>
    </w:p>
    <w:p w14:paraId="64FDC659" w14:textId="4593E174" w:rsidR="003F3754" w:rsidRPr="00E331B5" w:rsidRDefault="003F3754" w:rsidP="008834F6">
      <w:pPr>
        <w:pStyle w:val="Nadpis2"/>
        <w:numPr>
          <w:ilvl w:val="0"/>
          <w:numId w:val="0"/>
        </w:numPr>
        <w:jc w:val="both"/>
      </w:pPr>
      <w:bookmarkStart w:id="8" w:name="_Toc54244365"/>
      <w:r w:rsidRPr="00E331B5">
        <w:t>4.</w:t>
      </w:r>
      <w:r w:rsidR="0077188A">
        <w:t>3</w:t>
      </w:r>
      <w:r w:rsidRPr="00E331B5">
        <w:t>.</w:t>
      </w:r>
      <w:r w:rsidR="000F1DF5" w:rsidRPr="00E331B5">
        <w:tab/>
      </w:r>
      <w:r w:rsidRPr="00E331B5">
        <w:t>Doplňovací, expanzní a pojistné zařízení</w:t>
      </w:r>
      <w:bookmarkEnd w:id="8"/>
      <w:r w:rsidRPr="00E331B5">
        <w:t xml:space="preserve"> </w:t>
      </w:r>
    </w:p>
    <w:p w14:paraId="76AF279C" w14:textId="160F49B0" w:rsidR="003F3754" w:rsidRDefault="000011E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E331B5">
        <w:rPr>
          <w:snapToGrid w:val="0"/>
          <w:szCs w:val="24"/>
        </w:rPr>
        <w:t xml:space="preserve">Okruh chladicí vody </w:t>
      </w:r>
      <w:r w:rsidR="0077188A">
        <w:rPr>
          <w:snapToGrid w:val="0"/>
          <w:szCs w:val="24"/>
        </w:rPr>
        <w:t xml:space="preserve">na straně zdroje je </w:t>
      </w:r>
      <w:r w:rsidR="003F3754" w:rsidRPr="00E331B5">
        <w:rPr>
          <w:snapToGrid w:val="0"/>
          <w:szCs w:val="24"/>
        </w:rPr>
        <w:t>uzavřen</w:t>
      </w:r>
      <w:r w:rsidR="0077188A">
        <w:rPr>
          <w:snapToGrid w:val="0"/>
          <w:szCs w:val="24"/>
        </w:rPr>
        <w:t>ý</w:t>
      </w:r>
      <w:r w:rsidR="003F3754" w:rsidRPr="00E331B5">
        <w:rPr>
          <w:snapToGrid w:val="0"/>
          <w:szCs w:val="24"/>
        </w:rPr>
        <w:t>, bude proto eliminaci přetlaku z tepelné roztažnosti vody</w:t>
      </w:r>
      <w:r w:rsidRPr="00E331B5">
        <w:rPr>
          <w:snapToGrid w:val="0"/>
          <w:szCs w:val="24"/>
        </w:rPr>
        <w:t xml:space="preserve"> </w:t>
      </w:r>
      <w:r w:rsidR="003F3754" w:rsidRPr="00E331B5">
        <w:rPr>
          <w:snapToGrid w:val="0"/>
          <w:szCs w:val="24"/>
        </w:rPr>
        <w:t>vybaven expanzním zařízením dle velikosti a</w:t>
      </w:r>
      <w:r w:rsidRPr="00E331B5">
        <w:rPr>
          <w:snapToGrid w:val="0"/>
          <w:szCs w:val="24"/>
        </w:rPr>
        <w:t> </w:t>
      </w:r>
      <w:r w:rsidR="003F3754" w:rsidRPr="00E331B5">
        <w:rPr>
          <w:snapToGrid w:val="0"/>
          <w:szCs w:val="24"/>
        </w:rPr>
        <w:t>objemu systému.</w:t>
      </w:r>
      <w:r w:rsidR="0077188A">
        <w:rPr>
          <w:snapToGrid w:val="0"/>
          <w:szCs w:val="24"/>
        </w:rPr>
        <w:t xml:space="preserve"> Expanzní a doplňovací zařízení je řešeno centrálně v rámci zdroje chladu.</w:t>
      </w:r>
      <w:r w:rsidR="003F3754" w:rsidRPr="00E331B5">
        <w:rPr>
          <w:snapToGrid w:val="0"/>
          <w:szCs w:val="24"/>
        </w:rPr>
        <w:t xml:space="preserve"> Proti nedovolenému přetlaku v soustavě pak </w:t>
      </w:r>
      <w:r w:rsidRPr="00E331B5">
        <w:rPr>
          <w:snapToGrid w:val="0"/>
          <w:szCs w:val="24"/>
        </w:rPr>
        <w:t>budou</w:t>
      </w:r>
      <w:r w:rsidR="003F3754" w:rsidRPr="00E331B5">
        <w:rPr>
          <w:snapToGrid w:val="0"/>
          <w:szCs w:val="24"/>
        </w:rPr>
        <w:t xml:space="preserve"> </w:t>
      </w:r>
      <w:r w:rsidR="0077188A">
        <w:rPr>
          <w:snapToGrid w:val="0"/>
          <w:szCs w:val="24"/>
        </w:rPr>
        <w:t xml:space="preserve">tepelné výměníky </w:t>
      </w:r>
      <w:r w:rsidR="003F3754" w:rsidRPr="00E331B5">
        <w:rPr>
          <w:snapToGrid w:val="0"/>
          <w:szCs w:val="24"/>
        </w:rPr>
        <w:t>dále jištěn</w:t>
      </w:r>
      <w:r w:rsidRPr="00E331B5">
        <w:rPr>
          <w:snapToGrid w:val="0"/>
          <w:szCs w:val="24"/>
        </w:rPr>
        <w:t>y</w:t>
      </w:r>
      <w:r w:rsidR="003F3754" w:rsidRPr="00E331B5">
        <w:rPr>
          <w:snapToGrid w:val="0"/>
          <w:szCs w:val="24"/>
        </w:rPr>
        <w:t xml:space="preserve"> pojistnými ventily dle objemu</w:t>
      </w:r>
      <w:r w:rsidRPr="00E331B5">
        <w:rPr>
          <w:snapToGrid w:val="0"/>
          <w:szCs w:val="24"/>
        </w:rPr>
        <w:t>, výkonu</w:t>
      </w:r>
      <w:r w:rsidR="003F3754" w:rsidRPr="00E331B5">
        <w:rPr>
          <w:snapToGrid w:val="0"/>
          <w:szCs w:val="24"/>
        </w:rPr>
        <w:t xml:space="preserve"> a maximálního povoleného tlaku v soustavě.</w:t>
      </w:r>
      <w:r w:rsidR="0077188A">
        <w:rPr>
          <w:snapToGrid w:val="0"/>
          <w:szCs w:val="24"/>
        </w:rPr>
        <w:t xml:space="preserve"> Mezi tepleným výměníkem a pojistným ventilem nesmí být uzavírací armatura.</w:t>
      </w:r>
    </w:p>
    <w:p w14:paraId="3306419E" w14:textId="47B8FF5B" w:rsidR="0077188A" w:rsidRPr="00E331B5" w:rsidRDefault="0077188A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>Strana technologického chladicího okruhu musí být také vybavena</w:t>
      </w:r>
      <w:r w:rsidR="00F00C19">
        <w:rPr>
          <w:snapToGrid w:val="0"/>
          <w:szCs w:val="24"/>
        </w:rPr>
        <w:t xml:space="preserve"> expanzním a pojistným zařízením dle způsobu provedení okruhu (není součást tohoto souboru). Maximální provozní přetlak na</w:t>
      </w:r>
      <w:r w:rsidR="00CC23E9">
        <w:rPr>
          <w:snapToGrid w:val="0"/>
          <w:szCs w:val="24"/>
        </w:rPr>
        <w:t> </w:t>
      </w:r>
      <w:r w:rsidR="00F00C19">
        <w:rPr>
          <w:snapToGrid w:val="0"/>
          <w:szCs w:val="24"/>
        </w:rPr>
        <w:t>tepelném výměníku je 10bar, při teplotě 80°C.</w:t>
      </w:r>
    </w:p>
    <w:p w14:paraId="7415D7A4" w14:textId="57960C8D" w:rsidR="003F3754" w:rsidRPr="00246E46" w:rsidRDefault="003F3754" w:rsidP="008834F6">
      <w:pPr>
        <w:pStyle w:val="Nadpis2"/>
        <w:numPr>
          <w:ilvl w:val="0"/>
          <w:numId w:val="0"/>
        </w:numPr>
        <w:jc w:val="both"/>
      </w:pPr>
      <w:bookmarkStart w:id="9" w:name="_Toc54244366"/>
      <w:r w:rsidRPr="00246E46">
        <w:t>4.</w:t>
      </w:r>
      <w:r w:rsidR="00910CF2">
        <w:t>4</w:t>
      </w:r>
      <w:r w:rsidRPr="00246E46">
        <w:t>.</w:t>
      </w:r>
      <w:r w:rsidR="0089627A">
        <w:tab/>
      </w:r>
      <w:r w:rsidRPr="00246E46">
        <w:t>Tepelné izolace</w:t>
      </w:r>
      <w:bookmarkEnd w:id="9"/>
    </w:p>
    <w:p w14:paraId="04FEAC03" w14:textId="5818BE58" w:rsidR="003F3754" w:rsidRPr="00246E46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246E46">
        <w:rPr>
          <w:snapToGrid w:val="0"/>
          <w:szCs w:val="24"/>
        </w:rPr>
        <w:t>Veškeré rozvody, zařízení a armatury</w:t>
      </w:r>
      <w:r w:rsidR="00321FF2">
        <w:rPr>
          <w:snapToGrid w:val="0"/>
          <w:szCs w:val="24"/>
        </w:rPr>
        <w:t xml:space="preserve"> rozvodu chladicí vody strany zdroje chladu</w:t>
      </w:r>
      <w:r w:rsidRPr="00246E46">
        <w:rPr>
          <w:snapToGrid w:val="0"/>
          <w:szCs w:val="24"/>
        </w:rPr>
        <w:t xml:space="preserve"> budou opatřeny speciální izolací pro chladicí techniku ze syntetického kaučuku s uzavřenou buněčnou strukturou potřebné tloušťky</w:t>
      </w:r>
      <w:r w:rsidR="00321FF2">
        <w:rPr>
          <w:snapToGrid w:val="0"/>
          <w:szCs w:val="24"/>
        </w:rPr>
        <w:t xml:space="preserve"> bez povrchové úpravy.</w:t>
      </w:r>
    </w:p>
    <w:p w14:paraId="3AECF7BB" w14:textId="03689A90" w:rsidR="003F3754" w:rsidRPr="00246E46" w:rsidRDefault="003F3754" w:rsidP="008834F6">
      <w:pPr>
        <w:pStyle w:val="Nadpis2"/>
        <w:numPr>
          <w:ilvl w:val="0"/>
          <w:numId w:val="0"/>
        </w:numPr>
        <w:jc w:val="both"/>
      </w:pPr>
      <w:bookmarkStart w:id="10" w:name="_Toc54244367"/>
      <w:r w:rsidRPr="00246E46">
        <w:t>4.</w:t>
      </w:r>
      <w:r w:rsidR="00910CF2">
        <w:t>5</w:t>
      </w:r>
      <w:r w:rsidRPr="00246E46">
        <w:t>.</w:t>
      </w:r>
      <w:r w:rsidR="0089627A">
        <w:tab/>
      </w:r>
      <w:r w:rsidRPr="00246E46">
        <w:t>Měření a regulace systému chlazení</w:t>
      </w:r>
      <w:bookmarkEnd w:id="10"/>
    </w:p>
    <w:p w14:paraId="2FE8A75D" w14:textId="38575E71" w:rsidR="003F3754" w:rsidRPr="00246E46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246E46">
        <w:rPr>
          <w:snapToGrid w:val="0"/>
          <w:szCs w:val="24"/>
        </w:rPr>
        <w:t>Veškeré řízení systému chlazení bude zajišťováno automatickým systémem měření a regulace (MaR) dle aktuálních potřeb systému a odběru chladu.</w:t>
      </w:r>
    </w:p>
    <w:p w14:paraId="0B6959E1" w14:textId="5AA5646C" w:rsidR="003F3754" w:rsidRPr="00246E46" w:rsidRDefault="003F3754" w:rsidP="008834F6">
      <w:pPr>
        <w:pStyle w:val="Nadpis2"/>
        <w:numPr>
          <w:ilvl w:val="0"/>
          <w:numId w:val="0"/>
        </w:numPr>
        <w:jc w:val="both"/>
      </w:pPr>
      <w:bookmarkStart w:id="11" w:name="_Toc54244368"/>
      <w:r w:rsidRPr="00246E46">
        <w:t>4.</w:t>
      </w:r>
      <w:r w:rsidR="00910CF2">
        <w:t>6</w:t>
      </w:r>
      <w:r w:rsidRPr="00246E46">
        <w:t>.</w:t>
      </w:r>
      <w:r w:rsidR="0089627A">
        <w:tab/>
      </w:r>
      <w:r w:rsidRPr="00246E46">
        <w:t>Bilance potřeb energií</w:t>
      </w:r>
      <w:bookmarkEnd w:id="11"/>
    </w:p>
    <w:p w14:paraId="050C8E99" w14:textId="51A838FF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 xml:space="preserve">Přehled předpokládaných potřeb </w:t>
      </w:r>
      <w:r w:rsidR="00910CF2">
        <w:rPr>
          <w:snapToGrid w:val="0"/>
          <w:szCs w:val="24"/>
        </w:rPr>
        <w:t>chladicího výkonu</w:t>
      </w:r>
      <w:r w:rsidRPr="0089627A">
        <w:rPr>
          <w:snapToGrid w:val="0"/>
          <w:szCs w:val="24"/>
        </w:rPr>
        <w:t>:</w:t>
      </w:r>
    </w:p>
    <w:p w14:paraId="4DC7369C" w14:textId="40938624" w:rsidR="003F3754" w:rsidRPr="0089627A" w:rsidRDefault="00910CF2" w:rsidP="008834F6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>Okruh pro AEM elektrolyzéry</w:t>
      </w:r>
      <w:r w:rsidR="003F3754" w:rsidRPr="0089627A">
        <w:rPr>
          <w:snapToGrid w:val="0"/>
          <w:szCs w:val="24"/>
        </w:rPr>
        <w:t>:</w:t>
      </w:r>
      <w:r w:rsidR="003F3754" w:rsidRPr="0089627A">
        <w:rPr>
          <w:snapToGrid w:val="0"/>
          <w:szCs w:val="24"/>
        </w:rPr>
        <w:tab/>
      </w:r>
      <w:r>
        <w:rPr>
          <w:snapToGrid w:val="0"/>
          <w:szCs w:val="24"/>
        </w:rPr>
        <w:t>12</w:t>
      </w:r>
      <w:r w:rsidR="003F3754" w:rsidRPr="0089627A">
        <w:rPr>
          <w:snapToGrid w:val="0"/>
          <w:szCs w:val="24"/>
        </w:rPr>
        <w:t>,0 kW</w:t>
      </w:r>
    </w:p>
    <w:p w14:paraId="6E86CCE5" w14:textId="3C74DAAA" w:rsidR="003F3754" w:rsidRPr="00910CF2" w:rsidRDefault="00910CF2" w:rsidP="008834F6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  <w:u w:val="single"/>
        </w:rPr>
      </w:pPr>
      <w:r w:rsidRPr="00910CF2">
        <w:rPr>
          <w:snapToGrid w:val="0"/>
          <w:szCs w:val="24"/>
          <w:u w:val="single"/>
        </w:rPr>
        <w:t>Okruh pro PEM elektrolyzéry</w:t>
      </w:r>
      <w:r w:rsidR="003F3754" w:rsidRPr="00910CF2">
        <w:rPr>
          <w:snapToGrid w:val="0"/>
          <w:szCs w:val="24"/>
          <w:u w:val="single"/>
        </w:rPr>
        <w:t>:</w:t>
      </w:r>
      <w:r w:rsidR="003F3754" w:rsidRPr="00910CF2">
        <w:rPr>
          <w:snapToGrid w:val="0"/>
          <w:szCs w:val="24"/>
          <w:u w:val="single"/>
        </w:rPr>
        <w:tab/>
      </w:r>
      <w:r w:rsidRPr="00910CF2">
        <w:rPr>
          <w:snapToGrid w:val="0"/>
          <w:szCs w:val="24"/>
          <w:u w:val="single"/>
        </w:rPr>
        <w:t>24</w:t>
      </w:r>
      <w:r w:rsidR="003F3754" w:rsidRPr="00910CF2">
        <w:rPr>
          <w:snapToGrid w:val="0"/>
          <w:szCs w:val="24"/>
          <w:u w:val="single"/>
        </w:rPr>
        <w:t>,0 kW</w:t>
      </w:r>
    </w:p>
    <w:p w14:paraId="446F5F4F" w14:textId="6B981439" w:rsidR="003F3754" w:rsidRPr="0089627A" w:rsidRDefault="00910CF2" w:rsidP="008834F6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>Celkem</w:t>
      </w:r>
      <w:r w:rsidR="003F3754" w:rsidRPr="0089627A">
        <w:rPr>
          <w:snapToGrid w:val="0"/>
          <w:szCs w:val="24"/>
        </w:rPr>
        <w:t>:</w:t>
      </w:r>
      <w:r w:rsidR="003F3754" w:rsidRPr="0089627A">
        <w:rPr>
          <w:snapToGrid w:val="0"/>
          <w:szCs w:val="24"/>
        </w:rPr>
        <w:tab/>
      </w:r>
      <w:r>
        <w:rPr>
          <w:snapToGrid w:val="0"/>
          <w:szCs w:val="24"/>
        </w:rPr>
        <w:t>36</w:t>
      </w:r>
      <w:r w:rsidR="003F3754" w:rsidRPr="0089627A">
        <w:rPr>
          <w:snapToGrid w:val="0"/>
          <w:szCs w:val="24"/>
        </w:rPr>
        <w:t>,</w:t>
      </w:r>
      <w:r w:rsidR="0089627A" w:rsidRPr="0089627A">
        <w:rPr>
          <w:snapToGrid w:val="0"/>
          <w:szCs w:val="24"/>
        </w:rPr>
        <w:t>0</w:t>
      </w:r>
      <w:r w:rsidR="003F3754" w:rsidRPr="0089627A">
        <w:rPr>
          <w:snapToGrid w:val="0"/>
          <w:szCs w:val="24"/>
        </w:rPr>
        <w:t xml:space="preserve"> kW</w:t>
      </w:r>
    </w:p>
    <w:p w14:paraId="4497D01E" w14:textId="77777777" w:rsidR="003F3754" w:rsidRPr="0089627A" w:rsidRDefault="003F3754" w:rsidP="008834F6">
      <w:pPr>
        <w:pStyle w:val="Nadpis1"/>
        <w:tabs>
          <w:tab w:val="clear" w:pos="851"/>
        </w:tabs>
        <w:jc w:val="both"/>
      </w:pPr>
      <w:bookmarkStart w:id="12" w:name="_Toc54244369"/>
      <w:r w:rsidRPr="0089627A">
        <w:t>BEZPEČNOST PRÁCE, OCHRANA ZDRAVÍ PŘI PRÁCI A OCHRANA ŽIVOTNÍHO PROSTŘEDÍ</w:t>
      </w:r>
      <w:bookmarkEnd w:id="12"/>
    </w:p>
    <w:p w14:paraId="0F17F747" w14:textId="345F5DDB" w:rsidR="003F3754" w:rsidRPr="0089627A" w:rsidRDefault="003F3754" w:rsidP="008834F6">
      <w:pPr>
        <w:pStyle w:val="Nadpis2"/>
        <w:numPr>
          <w:ilvl w:val="0"/>
          <w:numId w:val="0"/>
        </w:numPr>
        <w:jc w:val="both"/>
      </w:pPr>
      <w:bookmarkStart w:id="13" w:name="_Toc54244370"/>
      <w:r w:rsidRPr="0089627A">
        <w:t xml:space="preserve">5.1. </w:t>
      </w:r>
      <w:r w:rsidR="0089627A">
        <w:tab/>
      </w:r>
      <w:r w:rsidRPr="0089627A">
        <w:t>Bezpečnost práce</w:t>
      </w:r>
      <w:bookmarkEnd w:id="13"/>
    </w:p>
    <w:p w14:paraId="2576133F" w14:textId="2AC552E2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Při montáži, provozu a údržbě je nutné řídit se všeobecnými zásady pro dodržování bezpečnosti a</w:t>
      </w:r>
      <w:r w:rsidR="0089627A">
        <w:rPr>
          <w:snapToGrid w:val="0"/>
          <w:szCs w:val="24"/>
        </w:rPr>
        <w:t> </w:t>
      </w:r>
      <w:r w:rsidRPr="0089627A">
        <w:rPr>
          <w:snapToGrid w:val="0"/>
          <w:szCs w:val="24"/>
        </w:rPr>
        <w:t>ochrany zdraví při práci.</w:t>
      </w:r>
    </w:p>
    <w:p w14:paraId="3DCD110F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Pro vlastní montáž a údržbu platí příslušný bod provozních předpisů a pokyny pro montáž jednotlivých strojů od výrobce. Obsluha je povinna znát a dodržovat bezpečnostní předpisy.</w:t>
      </w:r>
    </w:p>
    <w:p w14:paraId="7F1436A0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Po celou dobu montáže, zkoušek i provozu je nutno dodržovat veškeré bezpečnostní předpisy a zásady bezpečnosti práce vztahující se konkrétní činnosti, hygienické předpisy, předpisy o požární ochraně a výnosy o zajištění bezpečnosti práce na stavbách, při dopravě a transportu.</w:t>
      </w:r>
    </w:p>
    <w:p w14:paraId="45809195" w14:textId="593B3E33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Dodavatelé jsou povinni v součinnosti s požárním a bezpečnostním technikem stavby zajistit veškerá potřebná bezpečnostní a protipožární opatření a věnovat jim zvýšenou pozornost především při</w:t>
      </w:r>
      <w:r w:rsidR="0089627A">
        <w:rPr>
          <w:snapToGrid w:val="0"/>
          <w:szCs w:val="24"/>
        </w:rPr>
        <w:t> </w:t>
      </w:r>
      <w:r w:rsidRPr="0089627A">
        <w:rPr>
          <w:snapToGrid w:val="0"/>
          <w:szCs w:val="24"/>
        </w:rPr>
        <w:t>souběhu montážních prací různých profesí.</w:t>
      </w:r>
    </w:p>
    <w:p w14:paraId="705DEBE6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Všichni pracovníci jsou povinni dodržovat obecně platné předpisy požární ochrany a pravidelně kontrolo</w:t>
      </w:r>
      <w:r w:rsidRPr="0089627A">
        <w:rPr>
          <w:snapToGrid w:val="0"/>
          <w:szCs w:val="24"/>
        </w:rPr>
        <w:softHyphen/>
        <w:t>vat stav zařízení z hlediska požární ochrany.</w:t>
      </w:r>
    </w:p>
    <w:p w14:paraId="5E2FD089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Pro vlastní montáž a údržbu platí příslušný bod provozních předpisů a pokyny pro montáž jednotlivých strojů od výrobce.</w:t>
      </w:r>
    </w:p>
    <w:p w14:paraId="6B600CE1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Při montážních pracích a při provozu zařízení je nutné dbát na zajištění bezpečnosti práce. Instalaci, servis, údržbu, opravu, znovuzískání a kontrolu těsnosti zařízení s obsahem fluorovaných skleníkových plynů a látek poškozujících ozonovou vrstvu (tzv. regulovaných látek) smějí provádět jen pracovníci s odpovídající kvalifikací pro prováděné úkony.</w:t>
      </w:r>
    </w:p>
    <w:p w14:paraId="5EDB1044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Při nedovolených zásazích může dojít k ohrožení tlakovým, chemickým a fyziologickým působením a k ohrožení elektrickým napětím.</w:t>
      </w:r>
    </w:p>
    <w:p w14:paraId="150BFCB6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Na chladicích jednotkách musí být umístěny výstražné tabulky:</w:t>
      </w:r>
    </w:p>
    <w:p w14:paraId="07EA9D33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Zařízení smí obsluhovat jen pověřený pracovník</w:t>
      </w:r>
    </w:p>
    <w:p w14:paraId="4E9D6127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Zákaz kouření a přístupu s otevřeným ohněm</w:t>
      </w:r>
    </w:p>
    <w:p w14:paraId="06A4F4C8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lastRenderedPageBreak/>
        <w:t>Zařízení obsahuje fluorované skleníkové plyny, na které se vztahuje Kjótský protokol a jejich množství</w:t>
      </w:r>
    </w:p>
    <w:p w14:paraId="014F4772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Ochrana zařízení před nebezpečným dotykovým napětím je provedena zemněním podle příslušných norem.</w:t>
      </w:r>
    </w:p>
    <w:p w14:paraId="59748906" w14:textId="77777777" w:rsidR="003F3754" w:rsidRPr="0089627A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89627A">
        <w:rPr>
          <w:snapToGrid w:val="0"/>
          <w:szCs w:val="24"/>
        </w:rPr>
        <w:t>V případě jakékoliv havárie chladicí jednotky je nutné ji okamžitě zastavit, a to buď hlavním vypínacím přímo na zařízení, nebo stop – tlačítky.</w:t>
      </w:r>
    </w:p>
    <w:p w14:paraId="66B99640" w14:textId="2979376E" w:rsidR="003F3754" w:rsidRPr="0089627A" w:rsidRDefault="003F3754" w:rsidP="008834F6">
      <w:pPr>
        <w:pStyle w:val="Nadpis2"/>
        <w:numPr>
          <w:ilvl w:val="0"/>
          <w:numId w:val="0"/>
        </w:numPr>
        <w:jc w:val="both"/>
      </w:pPr>
      <w:bookmarkStart w:id="14" w:name="_Toc54244371"/>
      <w:r w:rsidRPr="0089627A">
        <w:t xml:space="preserve">5.2. </w:t>
      </w:r>
      <w:r w:rsidR="0089627A" w:rsidRPr="0089627A">
        <w:tab/>
      </w:r>
      <w:r w:rsidRPr="0089627A">
        <w:t>Chladivo</w:t>
      </w:r>
      <w:bookmarkEnd w:id="14"/>
    </w:p>
    <w:p w14:paraId="32A71B14" w14:textId="6D6449C4" w:rsidR="003417CF" w:rsidRPr="003417CF" w:rsidRDefault="00C950DD" w:rsidP="00C950DD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>Části v dodávce tohoto souboru jsou pouze kapalinové systémy obsahující čistou vodu bez dalších přísad (kromě provozní chemie – inhibitor koroze, biocidní látky) připojené na centrální objektový zdroj chladu. V rámci tohoto souboru není zasahováno do chladivových okruhů zdroje chladu.</w:t>
      </w:r>
    </w:p>
    <w:p w14:paraId="057D149C" w14:textId="08BE0110" w:rsidR="003F3754" w:rsidRPr="003417CF" w:rsidRDefault="003F3754" w:rsidP="003417CF">
      <w:pPr>
        <w:pStyle w:val="Nadpis2"/>
        <w:numPr>
          <w:ilvl w:val="0"/>
          <w:numId w:val="0"/>
        </w:numPr>
        <w:jc w:val="both"/>
      </w:pPr>
      <w:bookmarkStart w:id="15" w:name="_Toc54244372"/>
      <w:r w:rsidRPr="003417CF">
        <w:t xml:space="preserve">5.3. </w:t>
      </w:r>
      <w:r w:rsidR="003417CF">
        <w:tab/>
      </w:r>
      <w:r w:rsidRPr="003417CF">
        <w:t>Přehled základních právních předpisů a norem</w:t>
      </w:r>
      <w:bookmarkEnd w:id="15"/>
    </w:p>
    <w:p w14:paraId="238C217D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>ČSN EN 378-1</w:t>
      </w:r>
      <w:r w:rsidRPr="003417CF">
        <w:rPr>
          <w:snapToGrid w:val="0"/>
          <w:szCs w:val="24"/>
        </w:rPr>
        <w:tab/>
        <w:t>Chladicí zařízení a tepelná čerpadla – Bezpečnostní a environmentální požadavky – Část 1: Základní požadavky, definice, klasifikace a kritéria volby</w:t>
      </w:r>
    </w:p>
    <w:p w14:paraId="51ED7361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>ČSN EN 378-2</w:t>
      </w:r>
      <w:r w:rsidRPr="003417CF">
        <w:rPr>
          <w:snapToGrid w:val="0"/>
          <w:szCs w:val="24"/>
        </w:rPr>
        <w:tab/>
        <w:t>Chladicí zařízení a tepelná čerpadla – Bezpečnostní a environmentální požadavky – Část 2: Konstrukce, výroba, zkoušení, značení a dokumentace</w:t>
      </w:r>
    </w:p>
    <w:p w14:paraId="1D702835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>ČSN EN 378-3</w:t>
      </w:r>
      <w:r w:rsidRPr="003417CF">
        <w:rPr>
          <w:snapToGrid w:val="0"/>
          <w:szCs w:val="24"/>
        </w:rPr>
        <w:tab/>
        <w:t>Chladicí zařízení a tepelná čerpadla – Bezpečnostní a environmentální požadavky – Část 3: Instalační místo a ochrana osob</w:t>
      </w:r>
    </w:p>
    <w:p w14:paraId="72C3362B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>ČSN EN 378-4</w:t>
      </w:r>
      <w:r w:rsidRPr="003417CF">
        <w:rPr>
          <w:snapToGrid w:val="0"/>
          <w:szCs w:val="24"/>
        </w:rPr>
        <w:tab/>
        <w:t>Chladicí zařízení a tepelná čerpadla – Bezpečnostní a environmentální požadavky – Část 4: Provoz, údržba, oprava a rekuperace</w:t>
      </w:r>
    </w:p>
    <w:p w14:paraId="4602034F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>ČSN EN 50110-1 ED.3</w:t>
      </w:r>
      <w:r w:rsidRPr="003417CF">
        <w:rPr>
          <w:snapToGrid w:val="0"/>
          <w:szCs w:val="24"/>
        </w:rPr>
        <w:tab/>
        <w:t>Obsluha a práce na elektrických zařízeních</w:t>
      </w:r>
    </w:p>
    <w:p w14:paraId="5645D8EC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 xml:space="preserve">ČSN 33 1500 </w:t>
      </w:r>
      <w:r w:rsidRPr="003417CF">
        <w:rPr>
          <w:snapToGrid w:val="0"/>
          <w:szCs w:val="24"/>
        </w:rPr>
        <w:tab/>
        <w:t>Elektrotechnické předpisy. Revize elektrických zařízení</w:t>
      </w:r>
    </w:p>
    <w:p w14:paraId="509FACCD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 xml:space="preserve">ČSN 69 0012 </w:t>
      </w:r>
      <w:r w:rsidRPr="003417CF">
        <w:rPr>
          <w:snapToGrid w:val="0"/>
          <w:szCs w:val="24"/>
        </w:rPr>
        <w:tab/>
        <w:t>Tlakové nádoby stabilní</w:t>
      </w:r>
    </w:p>
    <w:p w14:paraId="18B510DD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>Zákon č. 73/2012Sb</w:t>
      </w:r>
      <w:r w:rsidRPr="003417CF">
        <w:rPr>
          <w:snapToGrid w:val="0"/>
          <w:szCs w:val="24"/>
        </w:rPr>
        <w:tab/>
        <w:t>o látkách, které poškozují ozonovou vrstvu a o fluorovaných skleníkových plynech</w:t>
      </w:r>
    </w:p>
    <w:p w14:paraId="7554A056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>Vyhláška č. 257/2012Sb</w:t>
      </w:r>
      <w:r w:rsidRPr="003417CF">
        <w:rPr>
          <w:snapToGrid w:val="0"/>
          <w:szCs w:val="24"/>
        </w:rPr>
        <w:tab/>
        <w:t>o předcházení emisím látek, které poškozují ozonovou vrstvu, a fluorovaných skleníkových plynů</w:t>
      </w:r>
    </w:p>
    <w:p w14:paraId="4A97E9F8" w14:textId="77777777" w:rsidR="003417CF" w:rsidRPr="003417CF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3417CF">
        <w:rPr>
          <w:snapToGrid w:val="0"/>
          <w:szCs w:val="24"/>
        </w:rPr>
        <w:t>Vyhláška č. 193/2013Sb</w:t>
      </w:r>
      <w:r w:rsidRPr="003417CF">
        <w:rPr>
          <w:snapToGrid w:val="0"/>
          <w:szCs w:val="24"/>
        </w:rPr>
        <w:tab/>
        <w:t>o kontrole klimatizačních systémů</w:t>
      </w:r>
    </w:p>
    <w:p w14:paraId="590117DF" w14:textId="77777777" w:rsidR="00A816AC" w:rsidRPr="003417CF" w:rsidRDefault="00A816AC" w:rsidP="003417CF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</w:p>
    <w:sectPr w:rsidR="00A816AC" w:rsidRPr="003417CF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D0EBF" w14:textId="77777777" w:rsidR="002D3EAA" w:rsidRDefault="002D3EAA" w:rsidP="00A816AC">
      <w:r>
        <w:separator/>
      </w:r>
    </w:p>
  </w:endnote>
  <w:endnote w:type="continuationSeparator" w:id="0">
    <w:p w14:paraId="624CBC26" w14:textId="77777777" w:rsidR="002D3EAA" w:rsidRDefault="002D3EAA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E103F5" w:rsidRDefault="00E103F5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38060D9F" w:rsidR="00E103F5" w:rsidRDefault="00E103F5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20-026-4 / </w:t>
    </w:r>
    <w:r w:rsidR="005F1458">
      <w:rPr>
        <w:sz w:val="18"/>
        <w:szCs w:val="18"/>
      </w:rPr>
      <w:t>PS</w:t>
    </w:r>
    <w:r>
      <w:rPr>
        <w:sz w:val="18"/>
        <w:szCs w:val="18"/>
      </w:rPr>
      <w:t xml:space="preserve"> </w:t>
    </w:r>
    <w:r w:rsidR="005F1458">
      <w:rPr>
        <w:sz w:val="18"/>
        <w:szCs w:val="18"/>
      </w:rPr>
      <w:t>02</w:t>
    </w:r>
    <w:r>
      <w:rPr>
        <w:sz w:val="18"/>
        <w:szCs w:val="18"/>
      </w:rPr>
      <w:t>.1</w:t>
    </w:r>
    <w:r w:rsidR="005F1458">
      <w:rPr>
        <w:sz w:val="18"/>
        <w:szCs w:val="18"/>
      </w:rPr>
      <w:t>3</w:t>
    </w:r>
    <w:r>
      <w:rPr>
        <w:sz w:val="18"/>
        <w:szCs w:val="18"/>
      </w:rPr>
      <w:t>-</w:t>
    </w:r>
    <w:r w:rsidR="005F1458">
      <w:rPr>
        <w:sz w:val="18"/>
        <w:szCs w:val="18"/>
      </w:rPr>
      <w:t>3</w:t>
    </w:r>
    <w:r>
      <w:rPr>
        <w:sz w:val="18"/>
        <w:szCs w:val="18"/>
      </w:rPr>
      <w:t xml:space="preserve">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103F5" w:rsidRDefault="00E103F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103F5" w:rsidRDefault="00E103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BD489" w14:textId="77777777" w:rsidR="002D3EAA" w:rsidRDefault="002D3EAA" w:rsidP="00A816AC">
      <w:r>
        <w:separator/>
      </w:r>
    </w:p>
  </w:footnote>
  <w:footnote w:type="continuationSeparator" w:id="0">
    <w:p w14:paraId="10CC7ED2" w14:textId="77777777" w:rsidR="002D3EAA" w:rsidRDefault="002D3EAA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E103F5" w:rsidRPr="00EE61AF" w:rsidRDefault="00E103F5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E103F5" w:rsidRDefault="00E103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103F5" w:rsidRDefault="00E103F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103F5" w:rsidRDefault="00E103F5" w:rsidP="00F81BDE">
    <w:pPr>
      <w:pStyle w:val="Zhlav"/>
      <w:rPr>
        <w:sz w:val="18"/>
        <w:szCs w:val="18"/>
      </w:rPr>
    </w:pPr>
  </w:p>
  <w:p w14:paraId="4BC0E682" w14:textId="764414A3" w:rsidR="00E103F5" w:rsidRPr="00A01F0D" w:rsidRDefault="00E103F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E103F5" w:rsidRDefault="00E103F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103F5" w:rsidRDefault="00E103F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103F5" w:rsidRPr="00043CAD" w:rsidRDefault="00E103F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103F5" w:rsidRDefault="00E103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0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19E3DCA"/>
    <w:multiLevelType w:val="multilevel"/>
    <w:tmpl w:val="0284C530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1413F4"/>
    <w:multiLevelType w:val="multilevel"/>
    <w:tmpl w:val="F0A46D88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5B92E4B"/>
    <w:multiLevelType w:val="hybridMultilevel"/>
    <w:tmpl w:val="7F38EB2A"/>
    <w:lvl w:ilvl="0" w:tplc="6C28B900">
      <w:start w:val="1"/>
      <w:numFmt w:val="decimal"/>
      <w:pStyle w:val="Nadpis1"/>
      <w:lvlText w:val="%1."/>
      <w:lvlJc w:val="left"/>
      <w:pPr>
        <w:ind w:left="1429" w:hanging="360"/>
      </w:pPr>
    </w:lvl>
    <w:lvl w:ilvl="1" w:tplc="0405000F">
      <w:start w:val="1"/>
      <w:numFmt w:val="decimal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4CD40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9B619A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12"/>
  </w:num>
  <w:num w:numId="10">
    <w:abstractNumId w:val="16"/>
  </w:num>
  <w:num w:numId="11">
    <w:abstractNumId w:val="11"/>
  </w:num>
  <w:num w:numId="12">
    <w:abstractNumId w:val="8"/>
  </w:num>
  <w:num w:numId="13">
    <w:abstractNumId w:val="14"/>
  </w:num>
  <w:num w:numId="14">
    <w:abstractNumId w:val="7"/>
  </w:num>
  <w:num w:numId="15">
    <w:abstractNumId w:val="17"/>
  </w:num>
  <w:num w:numId="16">
    <w:abstractNumId w:val="19"/>
  </w:num>
  <w:num w:numId="17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011E4"/>
    <w:rsid w:val="00042177"/>
    <w:rsid w:val="0006100E"/>
    <w:rsid w:val="00085E8D"/>
    <w:rsid w:val="000D4978"/>
    <w:rsid w:val="000F1DF5"/>
    <w:rsid w:val="000F2FD1"/>
    <w:rsid w:val="001647F9"/>
    <w:rsid w:val="001C390B"/>
    <w:rsid w:val="001E2E3B"/>
    <w:rsid w:val="002035E0"/>
    <w:rsid w:val="002201EA"/>
    <w:rsid w:val="0024620E"/>
    <w:rsid w:val="00246E46"/>
    <w:rsid w:val="002A267A"/>
    <w:rsid w:val="002D3EAA"/>
    <w:rsid w:val="00305366"/>
    <w:rsid w:val="00321FF2"/>
    <w:rsid w:val="00332CA3"/>
    <w:rsid w:val="003417CF"/>
    <w:rsid w:val="00390E1D"/>
    <w:rsid w:val="003C5E59"/>
    <w:rsid w:val="003E5397"/>
    <w:rsid w:val="003F3754"/>
    <w:rsid w:val="004007F3"/>
    <w:rsid w:val="00417A2F"/>
    <w:rsid w:val="00482C09"/>
    <w:rsid w:val="004A1812"/>
    <w:rsid w:val="004C33C7"/>
    <w:rsid w:val="004F5E32"/>
    <w:rsid w:val="00565D44"/>
    <w:rsid w:val="00590B2C"/>
    <w:rsid w:val="005E4C18"/>
    <w:rsid w:val="005F1458"/>
    <w:rsid w:val="006459D0"/>
    <w:rsid w:val="00677095"/>
    <w:rsid w:val="006E4CC9"/>
    <w:rsid w:val="00705790"/>
    <w:rsid w:val="00711445"/>
    <w:rsid w:val="0077188A"/>
    <w:rsid w:val="00786E0D"/>
    <w:rsid w:val="007D2ABB"/>
    <w:rsid w:val="007D3A3B"/>
    <w:rsid w:val="0088194B"/>
    <w:rsid w:val="008834F6"/>
    <w:rsid w:val="0089627A"/>
    <w:rsid w:val="008A29C0"/>
    <w:rsid w:val="00902CC6"/>
    <w:rsid w:val="00910CF2"/>
    <w:rsid w:val="00947782"/>
    <w:rsid w:val="009E229D"/>
    <w:rsid w:val="00A273A2"/>
    <w:rsid w:val="00A816AC"/>
    <w:rsid w:val="00AD7012"/>
    <w:rsid w:val="00AE08C3"/>
    <w:rsid w:val="00B850E3"/>
    <w:rsid w:val="00C27ED4"/>
    <w:rsid w:val="00C40514"/>
    <w:rsid w:val="00C72685"/>
    <w:rsid w:val="00C950DD"/>
    <w:rsid w:val="00CB38AE"/>
    <w:rsid w:val="00CC03E7"/>
    <w:rsid w:val="00CC23E9"/>
    <w:rsid w:val="00CF47CF"/>
    <w:rsid w:val="00D01812"/>
    <w:rsid w:val="00D222BF"/>
    <w:rsid w:val="00E103F5"/>
    <w:rsid w:val="00E331B5"/>
    <w:rsid w:val="00E53AD7"/>
    <w:rsid w:val="00E926AC"/>
    <w:rsid w:val="00F00C19"/>
    <w:rsid w:val="00F53C03"/>
    <w:rsid w:val="00F72D1F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C27ED4"/>
    <w:pPr>
      <w:numPr>
        <w:numId w:val="15"/>
      </w:numPr>
      <w:tabs>
        <w:tab w:val="num" w:pos="851"/>
      </w:tabs>
      <w:suppressAutoHyphens w:val="0"/>
      <w:spacing w:after="60"/>
      <w:ind w:left="0" w:firstLine="0"/>
      <w:outlineLvl w:val="0"/>
    </w:pPr>
    <w:rPr>
      <w:rFonts w:cs="Arial"/>
      <w:b/>
      <w:bCs/>
      <w:kern w:val="28"/>
      <w:sz w:val="24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6E4CC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27ED4"/>
    <w:rPr>
      <w:rFonts w:ascii="Arial" w:eastAsia="Lucida Sans Unicode" w:hAnsi="Arial" w:cs="Arial"/>
      <w:b/>
      <w:bCs/>
      <w:kern w:val="28"/>
      <w:sz w:val="24"/>
      <w:szCs w:val="28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6E4CC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276FBF-B1B0-4163-91F3-1402F703D7FA}"/>
</file>

<file path=customXml/itemProps3.xml><?xml version="1.0" encoding="utf-8"?>
<ds:datastoreItem xmlns:ds="http://schemas.openxmlformats.org/officeDocument/2006/customXml" ds:itemID="{7263DCF0-6E62-425A-B215-1785E12820F5}"/>
</file>

<file path=customXml/itemProps4.xml><?xml version="1.0" encoding="utf-8"?>
<ds:datastoreItem xmlns:ds="http://schemas.openxmlformats.org/officeDocument/2006/customXml" ds:itemID="{1EAAFB87-8353-4D72-B0FA-2F2038B4C3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1465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Michal Zeman</cp:lastModifiedBy>
  <cp:revision>37</cp:revision>
  <cp:lastPrinted>2020-10-15T08:17:00Z</cp:lastPrinted>
  <dcterms:created xsi:type="dcterms:W3CDTF">2019-12-19T11:34:00Z</dcterms:created>
  <dcterms:modified xsi:type="dcterms:W3CDTF">2020-10-22T05:32:00Z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